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Dyslipidemia (KSoLA composite) (odds ratio 1.47 (95% CI 1.38 to 1.57),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1.38 to 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27.2%</w:t>
            </w:r>
          </w:p>
        </w:tc>
        <w:tc>
          <w:tcPr>
            <w:tcW w:type="dxa" w:w="2160"/>
          </w:tcPr>
          <w:p>
            <w:r>
              <w:t>17.9%</w:t>
            </w:r>
          </w:p>
        </w:tc>
        <w:tc>
          <w:tcPr>
            <w:tcW w:type="dxa" w:w="2160"/>
          </w:tcPr>
          <w:p>
            <w:r>
              <w:t>36.6%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