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Dyslipidemia (KSoLA composite) (odds ratio 2.57 (95% CI 2.43 to 2.73),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2.57 (95% CI 2.43 to 2.73)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35.1%</w:t>
            </w:r>
          </w:p>
        </w:tc>
        <w:tc>
          <w:tcPr>
            <w:tcW w:type="dxa" w:w="2160"/>
          </w:tcPr>
          <w:p>
            <w:r>
              <w:t>25.1%</w:t>
            </w:r>
          </w:p>
        </w:tc>
        <w:tc>
          <w:tcPr>
            <w:tcW w:type="dxa" w:w="2160"/>
          </w:tcPr>
          <w:p>
            <w:r>
              <w:t>45.3%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