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Dyslipidemia (KSoLA composite) (odds ratio 1.12 (95% CI 0.90 to 1.41), false discovery rate q 0.351)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0.90 to 1.41)</w:t>
            </w:r>
          </w:p>
        </w:tc>
        <w:tc>
          <w:tcPr>
            <w:tcW w:type="dxa" w:w="1234"/>
          </w:tcPr>
          <w:p>
            <w:r>
              <w:t>0.303</w:t>
            </w:r>
          </w:p>
        </w:tc>
        <w:tc>
          <w:tcPr>
            <w:tcW w:type="dxa" w:w="1234"/>
          </w:tcPr>
          <w:p>
            <w:r>
              <w:t>0.351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30.0%</w:t>
            </w:r>
          </w:p>
        </w:tc>
        <w:tc>
          <w:tcPr>
            <w:tcW w:type="dxa" w:w="2160"/>
          </w:tcPr>
          <w:p>
            <w:r>
              <w:t>25.8%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