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Dyslipidemia (KSoLA composite) (odds ratio 1.12 (95% CI 1.01 to 1.24), false discovery rate q 0.050) among 36016 adults aged 20 years or older (a weighted Dyslipidemia (KSoLA composite) prevalence of 49.6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1.12 (95% CI 1.01 to 1.24)</w:t>
            </w:r>
          </w:p>
        </w:tc>
        <w:tc>
          <w:tcPr>
            <w:tcW w:type="dxa" w:w="1234"/>
          </w:tcPr>
          <w:p>
            <w:r>
              <w:t>0.037</w:t>
            </w:r>
          </w:p>
        </w:tc>
        <w:tc>
          <w:tcPr>
            <w:tcW w:type="dxa" w:w="1234"/>
          </w:tcPr>
          <w:p>
            <w:r>
              <w:t>0.050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70.4%</w:t>
            </w:r>
          </w:p>
        </w:tc>
        <w:tc>
          <w:tcPr>
            <w:tcW w:type="dxa" w:w="2160"/>
          </w:tcPr>
          <w:p>
            <w:r>
              <w:t>70.6%</w:t>
            </w:r>
          </w:p>
        </w:tc>
        <w:tc>
          <w:tcPr>
            <w:tcW w:type="dxa" w:w="2160"/>
          </w:tcPr>
          <w:p>
            <w:r>
              <w:t>70.1%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