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Dyslipidemia (KSoLA composite)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Waist circumference, cm was positively associated with Dyslipidemia (KSoLA composite) (odds ratio per 1-SD 1.96 (95% CI 1.89 to 2.02), false discovery rate q &lt;0.001) among 36016 adults aged 20 years or older (a weighted Dyslipidemia (KSoLA composite) prevalence of 49.6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1.96 (95% CI 1.89 to 2.02)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36016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Waist circumference, cm (exposure)</w:t>
            </w:r>
          </w:p>
        </w:tc>
        <w:tc>
          <w:tcPr>
            <w:tcW w:type="dxa" w:w="2160"/>
          </w:tcPr>
          <w:p>
            <w:r>
              <w:t>82.7</w:t>
            </w:r>
          </w:p>
        </w:tc>
        <w:tc>
          <w:tcPr>
            <w:tcW w:type="dxa" w:w="2160"/>
          </w:tcPr>
          <w:p>
            <w:r>
              <w:t>79.7</w:t>
            </w:r>
          </w:p>
        </w:tc>
        <w:tc>
          <w:tcPr>
            <w:tcW w:type="dxa" w:w="2160"/>
          </w:tcPr>
          <w:p>
            <w:r>
              <w:t>85.6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43.4</w:t>
            </w:r>
          </w:p>
        </w:tc>
        <w:tc>
          <w:tcPr>
            <w:tcW w:type="dxa" w:w="2160"/>
          </w:tcPr>
          <w:p>
            <w:r>
              <w:t>51.3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93.4%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