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Dyslipidemia (KSoLA composite) (odds ratio per 1-SD 1.80 (95% CI 1.73 to 1.86),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1.73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65.2</w:t>
            </w:r>
          </w:p>
        </w:tc>
        <w:tc>
          <w:tcPr>
            <w:tcW w:type="dxa" w:w="2160"/>
          </w:tcPr>
          <w:p>
            <w:r>
              <w:t>63.7</w:t>
            </w:r>
          </w:p>
        </w:tc>
        <w:tc>
          <w:tcPr>
            <w:tcW w:type="dxa" w:w="2160"/>
          </w:tcPr>
          <w:p>
            <w:r>
              <w:t>66.9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