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inversely associated with eGFR (CKD-EPI 2021), mL/min/1.73m2 (beta coefficient -0.25 (95% CI -0.89 to 0.38), false discovery rate q 0.484)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-0.25 (95% CI -0.89 to 0.38)</w:t>
            </w:r>
          </w:p>
        </w:tc>
        <w:tc>
          <w:tcPr>
            <w:tcW w:type="dxa" w:w="1234"/>
          </w:tcPr>
          <w:p>
            <w:r>
              <w:t>0.435</w:t>
            </w:r>
          </w:p>
        </w:tc>
        <w:tc>
          <w:tcPr>
            <w:tcW w:type="dxa" w:w="1234"/>
          </w:tcPr>
          <w:p>
            <w:r>
              <w:t>0.484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30.8%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