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positively associated with Elevated ALT (&gt;40 IU/L) (odds ratio per 1-SD 1.06 (95% CI 0.99 to 1.15), false discovery rate q 0.135)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0.99 to 1.15)</w:t>
            </w:r>
          </w:p>
        </w:tc>
        <w:tc>
          <w:tcPr>
            <w:tcW w:type="dxa" w:w="1234"/>
          </w:tcPr>
          <w:p>
            <w:r>
              <w:t>0.109</w:t>
            </w:r>
          </w:p>
        </w:tc>
        <w:tc>
          <w:tcPr>
            <w:tcW w:type="dxa" w:w="1234"/>
          </w:tcPr>
          <w:p>
            <w:r>
              <w:t>0.135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  <w:tc>
          <w:tcPr>
            <w:tcW w:type="dxa" w:w="2160"/>
          </w:tcPr>
          <w:p>
            <w:r>
              <w:t>100.8</w:t>
            </w:r>
          </w:p>
        </w:tc>
        <w:tc>
          <w:tcPr>
            <w:tcW w:type="dxa" w:w="2160"/>
          </w:tcPr>
          <w:p>
            <w:r>
              <w:t>102.2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