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positively associated with Elevated ALT (&gt;40 IU/L) (odds ratio per 1-SD 1.02 (95% CI 0.95 to 1.10), false discovery rate q 0.636) among 35803 adults aged 20 years or older (a weighted Elevated ALT (&gt;40 IU/L) prevalence of 9.6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0.95 to 1.10)</w:t>
            </w:r>
          </w:p>
        </w:tc>
        <w:tc>
          <w:tcPr>
            <w:tcW w:type="dxa" w:w="1234"/>
          </w:tcPr>
          <w:p>
            <w:r>
              <w:t>0.590</w:t>
            </w:r>
          </w:p>
        </w:tc>
        <w:tc>
          <w:tcPr>
            <w:tcW w:type="dxa" w:w="1234"/>
          </w:tcPr>
          <w:p>
            <w:r>
              <w:t>0.636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164.6</w:t>
            </w:r>
          </w:p>
        </w:tc>
        <w:tc>
          <w:tcPr>
            <w:tcW w:type="dxa" w:w="2160"/>
          </w:tcPr>
          <w:p>
            <w:r>
              <w:t>164.1</w:t>
            </w:r>
          </w:p>
        </w:tc>
        <w:tc>
          <w:tcPr>
            <w:tcW w:type="dxa" w:w="2160"/>
          </w:tcPr>
          <w:p>
            <w:r>
              <w:t>168.9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