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Insulin resistance (HOMA-IR&gt;=2.5) and Elevated ALT (&gt;40 IU/L)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Insulin resistance (HOMA-IR&gt;=2.5) was positively associated with Elevated ALT (&gt;40 IU/L) (odds ratio 2.78 (95% CI 2.38 to 3.25), false discovery rate q &lt;0.001) among 35803 adults aged 20 years or older (a weighted Elevated ALT (&gt;40 IU/L) prevalence of 9.6 percent, survey-weighted). Confounders: Age, years, Male sex, Body mass index, kg/m2,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 and smoking (alcohol is a key hepatic confounder). Adjustment for this exposure: Age, years, Male sex, Body mass index, kg/m2,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Insulin resistance (HOMA-IR&gt;=2.5)</w:t>
            </w:r>
          </w:p>
        </w:tc>
        <w:tc>
          <w:tcPr>
            <w:tcW w:type="dxa" w:w="1234"/>
          </w:tcPr>
          <w:p>
            <w:r>
              <w:t>Elevated ALT (&gt;40 IU/L)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2.78 (95% CI 2.38 to 3.25)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35803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Elevated ALT (&gt;40 IU/L)</w:t>
            </w:r>
          </w:p>
        </w:tc>
        <w:tc>
          <w:tcPr>
            <w:tcW w:type="dxa" w:w="2160"/>
          </w:tcPr>
          <w:p>
            <w:r>
              <w:t>Elevated ALT (&gt;40 IU/L)</w:t>
            </w:r>
          </w:p>
        </w:tc>
      </w:tr>
      <w:tr>
        <w:tc>
          <w:tcPr>
            <w:tcW w:type="dxa" w:w="2160"/>
          </w:tcPr>
          <w:p>
            <w:r>
              <w:t>Insulin resistance (HOMA-IR&gt;=2.5) (exposure)</w:t>
            </w:r>
          </w:p>
        </w:tc>
        <w:tc>
          <w:tcPr>
            <w:tcW w:type="dxa" w:w="2160"/>
          </w:tcPr>
          <w:p>
            <w:r>
              <w:t>30.9%</w:t>
            </w:r>
          </w:p>
        </w:tc>
        <w:tc>
          <w:tcPr>
            <w:tcW w:type="dxa" w:w="2160"/>
          </w:tcPr>
          <w:p>
            <w:r>
              <w:t>27.2%</w:t>
            </w:r>
          </w:p>
        </w:tc>
        <w:tc>
          <w:tcPr>
            <w:tcW w:type="dxa" w:w="2160"/>
          </w:tcPr>
          <w:p>
            <w:r>
              <w:t>62.7%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43.9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47.3%</w:t>
            </w:r>
          </w:p>
        </w:tc>
        <w:tc>
          <w:tcPr>
            <w:tcW w:type="dxa" w:w="2160"/>
          </w:tcPr>
          <w:p>
            <w:r>
              <w:t>77.7%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23.7</w:t>
            </w:r>
          </w:p>
        </w:tc>
        <w:tc>
          <w:tcPr>
            <w:tcW w:type="dxa" w:w="2160"/>
          </w:tcPr>
          <w:p>
            <w:r>
              <w:t>26.9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90.4%</w:t>
            </w:r>
          </w:p>
        </w:tc>
        <w:tc>
          <w:tcPr>
            <w:tcW w:type="dxa" w:w="2160"/>
          </w:tcPr>
          <w:p>
            <w:r>
              <w:t>93.0%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42.8%</w:t>
            </w:r>
          </w:p>
        </w:tc>
        <w:tc>
          <w:tcPr>
            <w:tcW w:type="dxa" w:w="2160"/>
          </w:tcPr>
          <w:p>
            <w:r>
              <w:t>64.1%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