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Chronic kidney disease (KDIGO: eGFR&lt;60 or ACR&gt;=30) and Elevated AST (&gt;40 IU/L)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Chronic kidney disease (KDIGO: eGFR&lt;60 or ACR&gt;=30) was positively associated with Elevated AST (&gt;40 IU/L) (odds ratio 1.22 (95% CI 0.95 to 1.56), false discovery rate q 0.147) among 35817 adults aged 20 years or older (a weighted Elevated AST (&gt;40 IU/L) prevalence of 4.7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1.22 (95% CI 0.95 to 1.56)</w:t>
            </w:r>
          </w:p>
        </w:tc>
        <w:tc>
          <w:tcPr>
            <w:tcW w:type="dxa" w:w="1234"/>
          </w:tcPr>
          <w:p>
            <w:r>
              <w:t>0.118</w:t>
            </w:r>
          </w:p>
        </w:tc>
        <w:tc>
          <w:tcPr>
            <w:tcW w:type="dxa" w:w="1234"/>
          </w:tcPr>
          <w:p>
            <w:r>
              <w:t>0.147</w:t>
            </w:r>
          </w:p>
        </w:tc>
        <w:tc>
          <w:tcPr>
            <w:tcW w:type="dxa" w:w="1234"/>
          </w:tcPr>
          <w:p>
            <w:r>
              <w:t>35817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AST (&gt;40 IU/L)</w:t>
            </w:r>
          </w:p>
        </w:tc>
        <w:tc>
          <w:tcPr>
            <w:tcW w:type="dxa" w:w="2160"/>
          </w:tcPr>
          <w:p>
            <w:r>
              <w:t>Elevated AST (&gt;40 IU/L)</w:t>
            </w:r>
          </w:p>
        </w:tc>
      </w:tr>
      <w:tr>
        <w:tc>
          <w:tcPr>
            <w:tcW w:type="dxa" w:w="2160"/>
          </w:tcPr>
          <w:p>
            <w:r>
              <w:t>Chronic kidney disease (KDIGO: eGFR&lt;60 or ACR&gt;=30) (exposure)</w:t>
            </w:r>
          </w:p>
        </w:tc>
        <w:tc>
          <w:tcPr>
            <w:tcW w:type="dxa" w:w="2160"/>
          </w:tcPr>
          <w:p>
            <w:r>
              <w:t>7.6%</w:t>
            </w:r>
          </w:p>
        </w:tc>
        <w:tc>
          <w:tcPr>
            <w:tcW w:type="dxa" w:w="2160"/>
          </w:tcPr>
          <w:p>
            <w:r>
              <w:t>7.4%</w:t>
            </w:r>
          </w:p>
        </w:tc>
        <w:tc>
          <w:tcPr>
            <w:tcW w:type="dxa" w:w="2160"/>
          </w:tcPr>
          <w:p>
            <w:r>
              <w:t>11.2%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48.9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70.7%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26.2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91.5%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  <w:tc>
          <w:tcPr>
            <w:tcW w:type="dxa" w:w="2160"/>
          </w:tcPr>
          <w:p>
            <w:r>
              <w:t>61.4%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