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eGFR (CKD-EPI 2021), mL/min/1.73m2 and Elevated AST (&gt;40 IU/L)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eGFR (CKD-EPI 2021), mL/min/1.73m2 was positively associated with Elevated AST (&gt;40 IU/L) (odds ratio per 1-SD 1.09 (95% CI 0.98 to 1.20), false discovery rate q 0.123) among 35817 adults aged 20 years or older (a weighted Elevated AST (&gt;40 IU/L) prevalence of 4.7 percent, survey-weighted). Confounders: Age, years, Male sex, Body mass index, kg/m2,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Body mass index, kg/m2,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1.09 (95% CI 0.98 to 1.20)</w:t>
            </w:r>
          </w:p>
        </w:tc>
        <w:tc>
          <w:tcPr>
            <w:tcW w:type="dxa" w:w="1234"/>
          </w:tcPr>
          <w:p>
            <w:r>
              <w:t>0.098</w:t>
            </w:r>
          </w:p>
        </w:tc>
        <w:tc>
          <w:tcPr>
            <w:tcW w:type="dxa" w:w="1234"/>
          </w:tcPr>
          <w:p>
            <w:r>
              <w:t>0.123</w:t>
            </w:r>
          </w:p>
        </w:tc>
        <w:tc>
          <w:tcPr>
            <w:tcW w:type="dxa" w:w="1234"/>
          </w:tcPr>
          <w:p>
            <w:r>
              <w:t>35817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AST (&gt;40 IU/L)</w:t>
            </w:r>
          </w:p>
        </w:tc>
        <w:tc>
          <w:tcPr>
            <w:tcW w:type="dxa" w:w="2160"/>
          </w:tcPr>
          <w:p>
            <w:r>
              <w:t>Elevated AST (&gt;40 IU/L)</w:t>
            </w:r>
          </w:p>
        </w:tc>
      </w:tr>
      <w:tr>
        <w:tc>
          <w:tcPr>
            <w:tcW w:type="dxa" w:w="2160"/>
          </w:tcPr>
          <w:p>
            <w:r>
              <w:t>eGFR (CKD-EPI 2021), mL/min/1.73m2 (exposure)</w:t>
            </w:r>
          </w:p>
        </w:tc>
        <w:tc>
          <w:tcPr>
            <w:tcW w:type="dxa" w:w="2160"/>
          </w:tcPr>
          <w:p>
            <w:r>
              <w:t>100.9</w:t>
            </w:r>
          </w:p>
        </w:tc>
        <w:tc>
          <w:tcPr>
            <w:tcW w:type="dxa" w:w="2160"/>
          </w:tcPr>
          <w:p>
            <w:r>
              <w:t>101.0</w:t>
            </w:r>
          </w:p>
        </w:tc>
        <w:tc>
          <w:tcPr>
            <w:tcW w:type="dxa" w:w="2160"/>
          </w:tcPr>
          <w:p>
            <w:r>
              <w:t>99.4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48.9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49.2%</w:t>
            </w:r>
          </w:p>
        </w:tc>
        <w:tc>
          <w:tcPr>
            <w:tcW w:type="dxa" w:w="2160"/>
          </w:tcPr>
          <w:p>
            <w:r>
              <w:t>70.7%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26.2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91.5%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44.1%</w:t>
            </w:r>
          </w:p>
        </w:tc>
        <w:tc>
          <w:tcPr>
            <w:tcW w:type="dxa" w:w="2160"/>
          </w:tcPr>
          <w:p>
            <w:r>
              <w:t>61.4%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