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Elevated AST (&gt;40 IU/L) (odds ratio 0.90 (95% CI 0.73 to 1.12), false discovery rate q 0.392) among 35817 adults aged 20 years or older (a weighted Elevated AST (&gt;40 IU/L) prevalence of 4.7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0.73 to 1.12)</w:t>
            </w:r>
          </w:p>
        </w:tc>
        <w:tc>
          <w:tcPr>
            <w:tcW w:type="dxa" w:w="1234"/>
          </w:tcPr>
          <w:p>
            <w:r>
              <w:t>0.342</w:t>
            </w:r>
          </w:p>
        </w:tc>
        <w:tc>
          <w:tcPr>
            <w:tcW w:type="dxa" w:w="1234"/>
          </w:tcPr>
          <w:p>
            <w:r>
              <w:t>0.392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