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Elevated AST (&gt;40 IU/L) (odds ratio per 1-SD 0.96 (95% CI 0.87 to 1.06), false discovery rate q 0.492)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0.87 to 1.06)</w:t>
            </w:r>
          </w:p>
        </w:tc>
        <w:tc>
          <w:tcPr>
            <w:tcW w:type="dxa" w:w="1234"/>
          </w:tcPr>
          <w:p>
            <w:r>
              <w:t>0.443</w:t>
            </w:r>
          </w:p>
        </w:tc>
        <w:tc>
          <w:tcPr>
            <w:tcW w:type="dxa" w:w="1234"/>
          </w:tcPr>
          <w:p>
            <w:r>
              <w:t>0.492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164.5</w:t>
            </w:r>
          </w:p>
        </w:tc>
        <w:tc>
          <w:tcPr>
            <w:tcW w:type="dxa" w:w="2160"/>
          </w:tcPr>
          <w:p>
            <w:r>
              <w:t>166.8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