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Elevated AST (&gt;40 IU/L) (odds ratio 1.69 (95% CI 1.26 to 2.27), false discovery rate q &lt;0.001) among 35817 adults aged 20 years or older (a weighted Elevated AST (&gt;40 IU/L) prevalence of 4.7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1.69 (95% CI 1.26 to 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33.1%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