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Elevated AST (&gt;40 IU/L) (odds ratio 1.71 (95% CI 1.45 to 2.02), false discovery rate q &lt;0.001)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1.71 (95% CI 1.45 to 2.02)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8.8%</w:t>
            </w:r>
          </w:p>
        </w:tc>
        <w:tc>
          <w:tcPr>
            <w:tcW w:type="dxa" w:w="2160"/>
          </w:tcPr>
          <w:p>
            <w:r>
              <w:t>8.4%</w:t>
            </w:r>
          </w:p>
        </w:tc>
        <w:tc>
          <w:tcPr>
            <w:tcW w:type="dxa" w:w="2160"/>
          </w:tcPr>
          <w:p>
            <w:r>
              <w:t>17.0%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