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Elevated AST (&gt;40 IU/L) (odds ratio 1.26 (95% CI 1.08 to 1.47), false discovery rate q 0.004)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1.26 (95% CI 1.08 to 1.47)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27.0%</w:t>
            </w:r>
          </w:p>
        </w:tc>
        <w:tc>
          <w:tcPr>
            <w:tcW w:type="dxa" w:w="2160"/>
          </w:tcPr>
          <w:p>
            <w:r>
              <w:t>26.3%</w:t>
            </w:r>
          </w:p>
        </w:tc>
        <w:tc>
          <w:tcPr>
            <w:tcW w:type="dxa" w:w="2160"/>
          </w:tcPr>
          <w:p>
            <w:r>
              <w:t>40.1%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