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Elevated AST (&gt;40 IU/L) (odds ratio per 1-SD 0.88 (95% CI 0.73 to 1.05), false discovery rate q 0.184)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0.73 to 1.05)</w:t>
            </w:r>
          </w:p>
        </w:tc>
        <w:tc>
          <w:tcPr>
            <w:tcW w:type="dxa" w:w="1234"/>
          </w:tcPr>
          <w:p>
            <w:r>
              <w:t>0.150</w:t>
            </w:r>
          </w:p>
        </w:tc>
        <w:tc>
          <w:tcPr>
            <w:tcW w:type="dxa" w:w="1234"/>
          </w:tcPr>
          <w:p>
            <w:r>
              <w:t>0.184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