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Elevated AST (&gt;40 IU/L) (odds ratio 2.49 (95% CI 2.20 to 2.81), false discovery rate q &lt;0.001) among 35817 adults aged 20 years or older (a weighted Elevated AST (&gt;40 IU/L) prevalence of 4.7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2.49 (95% CI 2.20 to 2.81)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