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positively associated with Elevated AST (&gt;40 IU/L) (odds ratio 2.47 (95% CI 2.18 to 2.78), false discovery rate q &lt;0.001) among 35817 adults aged 20 years or older (a weighted Elevated AST (&gt;40 IU/L) prevalence of 4.7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2.47 (95% CI 2.18 to 2.78)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35.0%</w:t>
            </w:r>
          </w:p>
        </w:tc>
        <w:tc>
          <w:tcPr>
            <w:tcW w:type="dxa" w:w="2160"/>
          </w:tcPr>
          <w:p>
            <w:r>
              <w:t>33.9%</w:t>
            </w:r>
          </w:p>
        </w:tc>
        <w:tc>
          <w:tcPr>
            <w:tcW w:type="dxa" w:w="2160"/>
          </w:tcPr>
          <w:p>
            <w:r>
              <w:t>58.5%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