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Elevated AST (&gt;40 IU/L) (odds ratio 1.20 (95% CI 0.69 to 2.07), false discovery rate q 0.571)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0.69 to 2.07)</w:t>
            </w:r>
          </w:p>
        </w:tc>
        <w:tc>
          <w:tcPr>
            <w:tcW w:type="dxa" w:w="1234"/>
          </w:tcPr>
          <w:p>
            <w:r>
              <w:t>0.524</w:t>
            </w:r>
          </w:p>
        </w:tc>
        <w:tc>
          <w:tcPr>
            <w:tcW w:type="dxa" w:w="1234"/>
          </w:tcPr>
          <w:p>
            <w:r>
              <w:t>0.571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