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lean mass, kg and Elevated AST (&gt;40 IU/L)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Total lean mass, kg was positively associated with Elevated AST (&gt;40 IU/L) (odds ratio per 1-SD 1.69 (95% CI 1.28 to 2.24), false discovery rate q &lt;0.001) among 35817 adults aged 20 years or older (a weighted Elevated AST (&gt;40 IU/L) prevalence of 4.7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1.69 (95% CI 1.28 to 2.24)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35817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AST (&gt;40 IU/L)</w:t>
            </w:r>
          </w:p>
        </w:tc>
        <w:tc>
          <w:tcPr>
            <w:tcW w:type="dxa" w:w="2160"/>
          </w:tcPr>
          <w:p>
            <w:r>
              <w:t>Elevated AST (&gt;40 IU/L)</w:t>
            </w:r>
          </w:p>
        </w:tc>
      </w:tr>
      <w:tr>
        <w:tc>
          <w:tcPr>
            <w:tcW w:type="dxa" w:w="2160"/>
          </w:tcPr>
          <w:p>
            <w:r>
              <w:t>Total lean mass, kg (exposure)</w:t>
            </w:r>
          </w:p>
        </w:tc>
        <w:tc>
          <w:tcPr>
            <w:tcW w:type="dxa" w:w="2160"/>
          </w:tcPr>
          <w:p>
            <w:r>
              <w:t>45.8</w:t>
            </w:r>
          </w:p>
        </w:tc>
        <w:tc>
          <w:tcPr>
            <w:tcW w:type="dxa" w:w="2160"/>
          </w:tcPr>
          <w:p>
            <w:r>
              <w:t>45.5</w:t>
            </w:r>
          </w:p>
        </w:tc>
        <w:tc>
          <w:tcPr>
            <w:tcW w:type="dxa" w:w="2160"/>
          </w:tcPr>
          <w:p>
            <w:r>
              <w:t>50.6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48.9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70.7%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26.2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91.5%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  <w:tc>
          <w:tcPr>
            <w:tcW w:type="dxa" w:w="2160"/>
          </w:tcPr>
          <w:p>
            <w:r>
              <w:t>61.4%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