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Elevated AST (&gt;40 IU/L) (odds ratio per 1-SD 1.83 (95% CI 1.72 to 1.95), false discovery rate q &lt;0.001) among 35817 adults aged 20 years or older (a weighted Elevated AST (&gt;40 IU/L) prevalence of 4.7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1.83 (95% CI 1.72 to 1.95)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82.3</w:t>
            </w:r>
          </w:p>
        </w:tc>
        <w:tc>
          <w:tcPr>
            <w:tcW w:type="dxa" w:w="2160"/>
          </w:tcPr>
          <w:p>
            <w:r>
              <w:t>90.0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