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Elevated AST (&gt;40 IU/L) (odds ratio per 1-SD 1.03 (95% CI 0.96 to 1.09), false discovery rate q 0.469)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0.96 to 1.09)</w:t>
            </w:r>
          </w:p>
        </w:tc>
        <w:tc>
          <w:tcPr>
            <w:tcW w:type="dxa" w:w="1234"/>
          </w:tcPr>
          <w:p>
            <w:r>
              <w:t>0.419</w:t>
            </w:r>
          </w:p>
        </w:tc>
        <w:tc>
          <w:tcPr>
            <w:tcW w:type="dxa" w:w="1234"/>
          </w:tcPr>
          <w:p>
            <w:r>
              <w:t>0.469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