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Alanine aminotransferase, IU/L and Ever alcohol (past/current)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Alanine aminotransferase, IU/L was inversely associated with Ever alcohol (past/current) (odds ratio per 1-SD 0.92 (95% CI 0.87 to 0.97), false discovery rate q 0.002) among 36644 adults aged 20 years or older (a weighted Ever alcohol (past/current) prevalence of 90.2 percent, survey-weighted). Confounders: Age, years, Male sex, Ever smoking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Age, years, Male sex, Ever smoking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Alanine aminotransferase, IU/L</w:t>
            </w:r>
          </w:p>
        </w:tc>
        <w:tc>
          <w:tcPr>
            <w:tcW w:type="dxa" w:w="1234"/>
          </w:tcPr>
          <w:p>
            <w:r>
              <w:t>Ever alcohol (past/current)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0.92 (95% CI 0.87 to 0.97)</w:t>
            </w:r>
          </w:p>
        </w:tc>
        <w:tc>
          <w:tcPr>
            <w:tcW w:type="dxa" w:w="1234"/>
          </w:tcPr>
          <w:p>
            <w:r>
              <w:t>0.001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36644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Ever alcohol (past/current)</w:t>
            </w:r>
          </w:p>
        </w:tc>
        <w:tc>
          <w:tcPr>
            <w:tcW w:type="dxa" w:w="2160"/>
          </w:tcPr>
          <w:p>
            <w:r>
              <w:t>Ever alcohol (past/current)</w:t>
            </w:r>
          </w:p>
        </w:tc>
      </w:tr>
      <w:tr>
        <w:tc>
          <w:tcPr>
            <w:tcW w:type="dxa" w:w="2160"/>
          </w:tcPr>
          <w:p>
            <w:r>
              <w:t>Alanine aminotransferase, IU/L (exposure)</w:t>
            </w:r>
          </w:p>
        </w:tc>
        <w:tc>
          <w:tcPr>
            <w:tcW w:type="dxa" w:w="2160"/>
          </w:tcPr>
          <w:p>
            <w:r>
              <w:t>23.1</w:t>
            </w:r>
          </w:p>
        </w:tc>
        <w:tc>
          <w:tcPr>
            <w:tcW w:type="dxa" w:w="2160"/>
          </w:tcPr>
          <w:p>
            <w:r>
              <w:t>21.6</w:t>
            </w:r>
          </w:p>
        </w:tc>
        <w:tc>
          <w:tcPr>
            <w:tcW w:type="dxa" w:w="2160"/>
          </w:tcPr>
          <w:p>
            <w:r>
              <w:t>23.3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60.1</w:t>
            </w:r>
          </w:p>
        </w:tc>
        <w:tc>
          <w:tcPr>
            <w:tcW w:type="dxa" w:w="2160"/>
          </w:tcPr>
          <w:p>
            <w:r>
              <w:t>46.0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49.7%</w:t>
            </w:r>
          </w:p>
        </w:tc>
        <w:tc>
          <w:tcPr>
            <w:tcW w:type="dxa" w:w="2160"/>
          </w:tcPr>
          <w:p>
            <w:r>
              <w:t>20.7%</w:t>
            </w:r>
          </w:p>
        </w:tc>
        <w:tc>
          <w:tcPr>
            <w:tcW w:type="dxa" w:w="2160"/>
          </w:tcPr>
          <w:p>
            <w:r>
              <w:t>52.9%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11.2%</w:t>
            </w:r>
          </w:p>
        </w:tc>
        <w:tc>
          <w:tcPr>
            <w:tcW w:type="dxa" w:w="2160"/>
          </w:tcPr>
          <w:p>
            <w:r>
              <w:t>48.3%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