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inversely associated with Ever alcohol (past/current) (odds ratio 0.72 (95% CI 0.64 to 0.80), false discovery rate q &lt;0.001)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0.72 (95% CI 0.64 to 0.80)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15.0%</w:t>
            </w:r>
          </w:p>
        </w:tc>
        <w:tc>
          <w:tcPr>
            <w:tcW w:type="dxa" w:w="2160"/>
          </w:tcPr>
          <w:p>
            <w:r>
              <w:t>20.9%</w:t>
            </w:r>
          </w:p>
        </w:tc>
        <w:tc>
          <w:tcPr>
            <w:tcW w:type="dxa" w:w="2160"/>
          </w:tcPr>
          <w:p>
            <w:r>
              <w:t>14.4%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