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positively associated with Ever alcohol (past/current) (odds ratio per 1-SD 1.34 (95% CI 1.28 to 1.40), false discovery rate q &lt;0.001)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1.28 to 1.40)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51.6</w:t>
            </w:r>
          </w:p>
        </w:tc>
        <w:tc>
          <w:tcPr>
            <w:tcW w:type="dxa" w:w="2160"/>
          </w:tcPr>
          <w:p>
            <w:r>
              <w:t>49.8</w:t>
            </w:r>
          </w:p>
        </w:tc>
        <w:tc>
          <w:tcPr>
            <w:tcW w:type="dxa" w:w="2160"/>
          </w:tcPr>
          <w:p>
            <w:r>
              <w:t>51.8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