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inversely associated with Ever alcohol (past/current) (odds ratio 0.91 (95% CI 0.76 to 1.11), false discovery rate q 0.413) among 36644 adults aged 20 years or older (a weighted Ever alcohol (past/current) prevalence of 90.2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0.76 to 1.11)</w:t>
            </w:r>
          </w:p>
        </w:tc>
        <w:tc>
          <w:tcPr>
            <w:tcW w:type="dxa" w:w="1234"/>
          </w:tcPr>
          <w:p>
            <w:r>
              <w:t>0.363</w:t>
            </w:r>
          </w:p>
        </w:tc>
        <w:tc>
          <w:tcPr>
            <w:tcW w:type="dxa" w:w="1234"/>
          </w:tcPr>
          <w:p>
            <w:r>
              <w:t>0.413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33.7%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32.6%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