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inversely associated with Ever alcohol (past/current) (odds ratio 0.91 (95% CI 0.84 to 1.00), false discovery rate q 0.054) among 36644 adults aged 20 years or older (a weighted Ever alcohol (past/current) prevalence of 90.2 percent, survey-weighted). Confounders: Age, years, Male sex,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0.91 (95% CI 0.84 to 1.00)</w:t>
            </w:r>
          </w:p>
        </w:tc>
        <w:tc>
          <w:tcPr>
            <w:tcW w:type="dxa" w:w="1234"/>
          </w:tcPr>
          <w:p>
            <w:r>
              <w:t>0.041</w:t>
            </w:r>
          </w:p>
        </w:tc>
        <w:tc>
          <w:tcPr>
            <w:tcW w:type="dxa" w:w="1234"/>
          </w:tcPr>
          <w:p>
            <w:r>
              <w:t>0.054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35.0%</w:t>
            </w:r>
          </w:p>
        </w:tc>
        <w:tc>
          <w:tcPr>
            <w:tcW w:type="dxa" w:w="2160"/>
          </w:tcPr>
          <w:p>
            <w:r>
              <w:t>36.4%</w:t>
            </w:r>
          </w:p>
        </w:tc>
        <w:tc>
          <w:tcPr>
            <w:tcW w:type="dxa" w:w="2160"/>
          </w:tcPr>
          <w:p>
            <w:r>
              <w:t>34.8%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