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inversely associated with Ever alcohol (past/current) (odds ratio per 1-SD 0.95 (95% CI 0.91 to 1.00), false discovery rate q 0.059)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0.91 to 1.00)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258.2</w:t>
            </w:r>
          </w:p>
        </w:tc>
        <w:tc>
          <w:tcPr>
            <w:tcW w:type="dxa" w:w="2160"/>
          </w:tcPr>
          <w:p>
            <w:r>
              <w:t>255.7</w:t>
            </w:r>
          </w:p>
        </w:tc>
        <w:tc>
          <w:tcPr>
            <w:tcW w:type="dxa" w:w="2160"/>
          </w:tcPr>
          <w:p>
            <w:r>
              <w:t>258.4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