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inversely associated with Ever alcohol (past/current) (odds ratio per 1-SD 1.00 (95% CI 0.91 to 1.10), false discovery rate q 0.978)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0.91 to 1.10)</w:t>
            </w:r>
          </w:p>
        </w:tc>
        <w:tc>
          <w:tcPr>
            <w:tcW w:type="dxa" w:w="1234"/>
          </w:tcPr>
          <w:p>
            <w:r>
              <w:t>0.974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18.4</w:t>
            </w:r>
          </w:p>
        </w:tc>
        <w:tc>
          <w:tcPr>
            <w:tcW w:type="dxa" w:w="2160"/>
          </w:tcPr>
          <w:p>
            <w:r>
              <w:t>17.2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