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inversely associated with Ever alcohol (past/current) (odds ratio per 1-SD 0.98 (95% CI 0.94 to 1.02), false discovery rate q 0.263)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0.94 to 1.02)</w:t>
            </w:r>
          </w:p>
        </w:tc>
        <w:tc>
          <w:tcPr>
            <w:tcW w:type="dxa" w:w="1234"/>
          </w:tcPr>
          <w:p>
            <w:r>
              <w:t>0.222</w:t>
            </w:r>
          </w:p>
        </w:tc>
        <w:tc>
          <w:tcPr>
            <w:tcW w:type="dxa" w:w="1234"/>
          </w:tcPr>
          <w:p>
            <w:r>
              <w:t>0.263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135.7</w:t>
            </w:r>
          </w:p>
        </w:tc>
        <w:tc>
          <w:tcPr>
            <w:tcW w:type="dxa" w:w="2160"/>
          </w:tcPr>
          <w:p>
            <w:r>
              <w:t>128.8</w:t>
            </w:r>
          </w:p>
        </w:tc>
        <w:tc>
          <w:tcPr>
            <w:tcW w:type="dxa" w:w="2160"/>
          </w:tcPr>
          <w:p>
            <w:r>
              <w:t>136.5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