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Abdominal obesity and Ever smoking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Abdominal obesity was positively associated with Ever smoking (past/current) (odds ratio 1.16 (95% CI 1.07 to 1.25), false discovery rate q &lt;0.001) among 36605 adults aged 20 years or older (a weighted Ever smoking (past/current) prevalence of 44.7 percent, survey-weighted). Confounders: Age, years, Male sex,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1.16 (95% CI 1.07 to 1.25)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Abdominal obesity (exposure)</w:t>
            </w:r>
          </w:p>
        </w:tc>
        <w:tc>
          <w:tcPr>
            <w:tcW w:type="dxa" w:w="2160"/>
          </w:tcPr>
          <w:p>
            <w:r>
              <w:t>29.9%</w:t>
            </w:r>
          </w:p>
        </w:tc>
        <w:tc>
          <w:tcPr>
            <w:tcW w:type="dxa" w:w="2160"/>
          </w:tcPr>
          <w:p>
            <w:r>
              <w:t>27.3%</w:t>
            </w:r>
          </w:p>
        </w:tc>
        <w:tc>
          <w:tcPr>
            <w:tcW w:type="dxa" w:w="2160"/>
          </w:tcPr>
          <w:p>
            <w:r>
              <w:t>33.2%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20.8%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  <w:tc>
          <w:tcPr>
            <w:tcW w:type="dxa" w:w="2160"/>
          </w:tcPr>
          <w:p>
            <w:r>
              <w:t>97.5%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