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inversely associated with Ever smoking (past/current) (odds ratio per 1-SD 0.95 (95% CI 0.92 to 0.97), false discovery rate q &lt;0.001) among 36605 adults aged 20 years or older (a weighted Ever smoking (past/current) prevalence of 44.7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0.95 (95% CI 0.92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