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Ever smoking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Alanine aminotransferase, IU/L was positively associated with Ever smoking (past/current) (odds ratio per 1-SD 1.07 (95% CI 1.03 to 1.11), false discovery rate q 0.001) among 36605 adults aged 20 years or older (a weighted Ever smoking (past/current) prevalence of 44.7 percent, 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1.07 (95% CI 1.03 to 1.11)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Alanine aminotransferase, IU/L (exposure)</w:t>
            </w:r>
          </w:p>
        </w:tc>
        <w:tc>
          <w:tcPr>
            <w:tcW w:type="dxa" w:w="2160"/>
          </w:tcPr>
          <w:p>
            <w:r>
              <w:t>23.1</w:t>
            </w:r>
          </w:p>
        </w:tc>
        <w:tc>
          <w:tcPr>
            <w:tcW w:type="dxa" w:w="2160"/>
          </w:tcPr>
          <w:p>
            <w:r>
              <w:t>20.0</w:t>
            </w:r>
          </w:p>
        </w:tc>
        <w:tc>
          <w:tcPr>
            <w:tcW w:type="dxa" w:w="2160"/>
          </w:tcPr>
          <w:p>
            <w:r>
              <w:t>26.9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20.8%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  <w:tc>
          <w:tcPr>
            <w:tcW w:type="dxa" w:w="2160"/>
          </w:tcPr>
          <w:p>
            <w:r>
              <w:t>97.5%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