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Ever smoking (past/current) (odds ratio per 1-SD 0.94 (95% CI 0.82 to 1.09), false discovery rate q 0.485) among 36605 adults aged 20 years or older (a weighted Ever smoking (past/current) prevalence of 44.7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0.82 to 1.09)</w:t>
            </w:r>
          </w:p>
        </w:tc>
        <w:tc>
          <w:tcPr>
            <w:tcW w:type="dxa" w:w="1234"/>
          </w:tcPr>
          <w:p>
            <w:r>
              <w:t>0.436</w:t>
            </w:r>
          </w:p>
        </w:tc>
        <w:tc>
          <w:tcPr>
            <w:tcW w:type="dxa" w:w="1234"/>
          </w:tcPr>
          <w:p>
            <w:r>
              <w:t>0.485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