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Ever smoking (past/current) (odds ratio 1.07 (95% CI 0.99 to 1.15), false discovery rate q 0.100) among 36605 adults aged 20 years or older (a weighted Ever smoking (past/current) prevalence of 44.7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0.99 to 1.15)</w:t>
            </w:r>
          </w:p>
        </w:tc>
        <w:tc>
          <w:tcPr>
            <w:tcW w:type="dxa" w:w="1234"/>
          </w:tcPr>
          <w:p>
            <w:r>
              <w:t>0.079</w:t>
            </w:r>
          </w:p>
        </w:tc>
        <w:tc>
          <w:tcPr>
            <w:tcW w:type="dxa" w:w="1234"/>
          </w:tcPr>
          <w:p>
            <w:r>
              <w:t>0.100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52.6%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