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Ever smoking (past/current) (odds ratio per 1-SD 1.02 (95% CI 0.98 to 1.05), false discovery rate q 0.395)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0.98 to 1.05)</w:t>
            </w:r>
          </w:p>
        </w:tc>
        <w:tc>
          <w:tcPr>
            <w:tcW w:type="dxa" w:w="1234"/>
          </w:tcPr>
          <w:p>
            <w:r>
              <w:t>0.345</w:t>
            </w:r>
          </w:p>
        </w:tc>
        <w:tc>
          <w:tcPr>
            <w:tcW w:type="dxa" w:w="1234"/>
          </w:tcPr>
          <w:p>
            <w:r>
              <w:t>0.395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75.7</w:t>
            </w:r>
          </w:p>
        </w:tc>
        <w:tc>
          <w:tcPr>
            <w:tcW w:type="dxa" w:w="2160"/>
          </w:tcPr>
          <w:p>
            <w:r>
              <w:t>74.1</w:t>
            </w:r>
          </w:p>
        </w:tc>
        <w:tc>
          <w:tcPr>
            <w:tcW w:type="dxa" w:w="2160"/>
          </w:tcPr>
          <w:p>
            <w:r>
              <w:t>77.6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