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Dyslipidemia (KSoLA composite) was positively associated with Ever smoking (past/current) (odds ratio 1.24 (95% CI 1.16 to 1.34), false discovery rate q &lt;0.001) among 36605 adults aged 20 years or older (a weighted Ever smoking (past/current) prevalence of 44.7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1.24 (95% CI 1.16 to 1.34)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Dyslipidemia (KSoLA composite) (exposure)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