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eGFR (CKD-EPI 2021), mL/min/1.73m2 and Ever smoking (past/current)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eGFR (CKD-EPI 2021), mL/min/1.73m2 was positively associated with Ever smoking (past/current) (odds ratio per 1-SD 1.11 (95% CI 1.05 to 1.17), false discovery rate q &lt;0.001) among 36605 adults aged 20 years or older (a weighted Ever smoking (past/current) prevalence of 44.7 percent, survey-weighted). Confounders: Age, years, Male sex,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smoking, alcohol and (where not collinear) BMI. Adjustment for this exposure: Age, years, Male sex,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eGFR (CKD-EPI 2021), mL/min/1.73m2</w:t>
            </w:r>
          </w:p>
        </w:tc>
        <w:tc>
          <w:tcPr>
            <w:tcW w:type="dxa" w:w="1234"/>
          </w:tcPr>
          <w:p>
            <w:r>
              <w:t>Ever smoking (past/current)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1.11 (95% CI 1.05 to 1.17)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36605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Ever smoking (past/current)</w:t>
            </w:r>
          </w:p>
        </w:tc>
        <w:tc>
          <w:tcPr>
            <w:tcW w:type="dxa" w:w="2160"/>
          </w:tcPr>
          <w:p>
            <w:r>
              <w:t>Ever smoking (past/current)</w:t>
            </w:r>
          </w:p>
        </w:tc>
      </w:tr>
      <w:tr>
        <w:tc>
          <w:tcPr>
            <w:tcW w:type="dxa" w:w="2160"/>
          </w:tcPr>
          <w:p>
            <w:r>
              <w:t>eGFR (CKD-EPI 2021), mL/min/1.73m2 (exposure)</w:t>
            </w:r>
          </w:p>
        </w:tc>
        <w:tc>
          <w:tcPr>
            <w:tcW w:type="dxa" w:w="2160"/>
          </w:tcPr>
          <w:p>
            <w:r>
              <w:t>101.0</w:t>
            </w:r>
          </w:p>
        </w:tc>
        <w:tc>
          <w:tcPr>
            <w:tcW w:type="dxa" w:w="2160"/>
          </w:tcPr>
          <w:p>
            <w:r>
              <w:t>102.0</w:t>
            </w:r>
          </w:p>
        </w:tc>
        <w:tc>
          <w:tcPr>
            <w:tcW w:type="dxa" w:w="2160"/>
          </w:tcPr>
          <w:p>
            <w:r>
              <w:t>99.8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47.3</w:t>
            </w:r>
          </w:p>
        </w:tc>
        <w:tc>
          <w:tcPr>
            <w:tcW w:type="dxa" w:w="2160"/>
          </w:tcPr>
          <w:p>
            <w:r>
              <w:t>47.7</w:t>
            </w:r>
          </w:p>
        </w:tc>
        <w:tc>
          <w:tcPr>
            <w:tcW w:type="dxa" w:w="2160"/>
          </w:tcPr>
          <w:p>
            <w:r>
              <w:t>46.9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49.7%</w:t>
            </w:r>
          </w:p>
        </w:tc>
        <w:tc>
          <w:tcPr>
            <w:tcW w:type="dxa" w:w="2160"/>
          </w:tcPr>
          <w:p>
            <w:r>
              <w:t>20.8%</w:t>
            </w:r>
          </w:p>
        </w:tc>
        <w:tc>
          <w:tcPr>
            <w:tcW w:type="dxa" w:w="2160"/>
          </w:tcPr>
          <w:p>
            <w:r>
              <w:t>85.6%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90.2%</w:t>
            </w:r>
          </w:p>
        </w:tc>
        <w:tc>
          <w:tcPr>
            <w:tcW w:type="dxa" w:w="2160"/>
          </w:tcPr>
          <w:p>
            <w:r>
              <w:t>84.3%</w:t>
            </w:r>
          </w:p>
        </w:tc>
        <w:tc>
          <w:tcPr>
            <w:tcW w:type="dxa" w:w="2160"/>
          </w:tcPr>
          <w:p>
            <w:r>
              <w:t>97.5%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23.6</w:t>
            </w:r>
          </w:p>
        </w:tc>
        <w:tc>
          <w:tcPr>
            <w:tcW w:type="dxa" w:w="2160"/>
          </w:tcPr>
          <w:p>
            <w:r>
              <w:t>24.4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