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index (HSI)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index (HSI) was positively associated with Ever smoking (past/current) (odds ratio per 1-SD 1.11 (95% CI 1.03 to 1.19), false discovery rate q 0.007) among 36605 adults aged 20 years or older (a weighted Ever smoking (past/current) prevalence of 44.7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1.11 (95% CI 1.03 to 1.19)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Hepatic steatosis index (HSI) (exposure)</w:t>
            </w:r>
          </w:p>
        </w:tc>
        <w:tc>
          <w:tcPr>
            <w:tcW w:type="dxa" w:w="2160"/>
          </w:tcPr>
          <w:p>
            <w:r>
              <w:t>32.9</w:t>
            </w:r>
          </w:p>
        </w:tc>
        <w:tc>
          <w:tcPr>
            <w:tcW w:type="dxa" w:w="2160"/>
          </w:tcPr>
          <w:p>
            <w:r>
              <w:t>32.5</w:t>
            </w:r>
          </w:p>
        </w:tc>
        <w:tc>
          <w:tcPr>
            <w:tcW w:type="dxa" w:w="2160"/>
          </w:tcPr>
          <w:p>
            <w:r>
              <w:t>33.3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