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Ever smoking (past/current)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Insulin resistance (HOMA-IR&gt;=2.5) was positively associated with Ever smoking (past/current) (odds ratio 1.16 (95% CI 1.02 to 1.32), false discovery rate q 0.033) among 36605 adults aged 20 years or older (a weighted Ever smoking (past/current) prevalence of 44.7 percent, 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1.16 (95% CI 1.02 to 1.32)</w:t>
            </w:r>
          </w:p>
        </w:tc>
        <w:tc>
          <w:tcPr>
            <w:tcW w:type="dxa" w:w="1234"/>
          </w:tcPr>
          <w:p>
            <w:r>
              <w:t>0.024</w:t>
            </w:r>
          </w:p>
        </w:tc>
        <w:tc>
          <w:tcPr>
            <w:tcW w:type="dxa" w:w="1234"/>
          </w:tcPr>
          <w:p>
            <w:r>
              <w:t>0.033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smoking (past/current)</w:t>
            </w:r>
          </w:p>
        </w:tc>
        <w:tc>
          <w:tcPr>
            <w:tcW w:type="dxa" w:w="2160"/>
          </w:tcPr>
          <w:p>
            <w:r>
              <w:t>Ever smoking (past/current)</w:t>
            </w:r>
          </w:p>
        </w:tc>
      </w:tr>
      <w:tr>
        <w:tc>
          <w:tcPr>
            <w:tcW w:type="dxa" w:w="2160"/>
          </w:tcPr>
          <w:p>
            <w:r>
              <w:t>Insulin resistance (HOMA-IR&gt;=2.5) (exposure)</w:t>
            </w:r>
          </w:p>
        </w:tc>
        <w:tc>
          <w:tcPr>
            <w:tcW w:type="dxa" w:w="2160"/>
          </w:tcPr>
          <w:p>
            <w:r>
              <w:t>30.8%</w:t>
            </w:r>
          </w:p>
        </w:tc>
        <w:tc>
          <w:tcPr>
            <w:tcW w:type="dxa" w:w="2160"/>
          </w:tcPr>
          <w:p>
            <w:r>
              <w:t>28.6%</w:t>
            </w:r>
          </w:p>
        </w:tc>
        <w:tc>
          <w:tcPr>
            <w:tcW w:type="dxa" w:w="2160"/>
          </w:tcPr>
          <w:p>
            <w:r>
              <w:t>33.6%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20.8%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97.5%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