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LDL cholesterol, mg/dL and Ever smoking (past/current)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LDL cholesterol, mg/dL was inversely associated with Ever smoking (past/current) (odds ratio per 1-SD 0.92 (95% CI 0.87 to 0.97), false discovery rate q 0.007) among 36605 adults aged 20 years or older (a weighted Ever smoking (past/current) prevalence of 44.7 percent, survey-weighted). Confounders: Age, years, Male sex,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0.92 (95% CI 0.87 to 0.97)</w:t>
            </w:r>
          </w:p>
        </w:tc>
        <w:tc>
          <w:tcPr>
            <w:tcW w:type="dxa" w:w="1234"/>
          </w:tcPr>
          <w:p>
            <w:r>
              <w:t>0.005</w:t>
            </w:r>
          </w:p>
        </w:tc>
        <w:tc>
          <w:tcPr>
            <w:tcW w:type="dxa" w:w="1234"/>
          </w:tcPr>
          <w:p>
            <w:r>
              <w:t>0.007</w:t>
            </w:r>
          </w:p>
        </w:tc>
        <w:tc>
          <w:tcPr>
            <w:tcW w:type="dxa" w:w="1234"/>
          </w:tcPr>
          <w:p>
            <w:r>
              <w:t>36605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smoking (past/current)</w:t>
            </w:r>
          </w:p>
        </w:tc>
        <w:tc>
          <w:tcPr>
            <w:tcW w:type="dxa" w:w="2160"/>
          </w:tcPr>
          <w:p>
            <w:r>
              <w:t>Ever smoking (past/current)</w:t>
            </w:r>
          </w:p>
        </w:tc>
      </w:tr>
      <w:tr>
        <w:tc>
          <w:tcPr>
            <w:tcW w:type="dxa" w:w="2160"/>
          </w:tcPr>
          <w:p>
            <w:r>
              <w:t>LDL cholesterol, mg/dL (exposure)</w:t>
            </w:r>
          </w:p>
        </w:tc>
        <w:tc>
          <w:tcPr>
            <w:tcW w:type="dxa" w:w="2160"/>
          </w:tcPr>
          <w:p>
            <w:r>
              <w:t>115.4</w:t>
            </w:r>
          </w:p>
        </w:tc>
        <w:tc>
          <w:tcPr>
            <w:tcW w:type="dxa" w:w="2160"/>
          </w:tcPr>
          <w:p>
            <w:r>
              <w:t>115.7</w:t>
            </w:r>
          </w:p>
        </w:tc>
        <w:tc>
          <w:tcPr>
            <w:tcW w:type="dxa" w:w="2160"/>
          </w:tcPr>
          <w:p>
            <w:r>
              <w:t>115.0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20.8%</w:t>
            </w:r>
          </w:p>
        </w:tc>
        <w:tc>
          <w:tcPr>
            <w:tcW w:type="dxa" w:w="2160"/>
          </w:tcPr>
          <w:p>
            <w:r>
              <w:t>85.6%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  <w:tc>
          <w:tcPr>
            <w:tcW w:type="dxa" w:w="2160"/>
          </w:tcPr>
          <w:p>
            <w:r>
              <w:t>97.5%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