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Ever smoking (past/current) (odds ratio 1.05 (95% CI 0.98 to 1.13), false discovery rate q 0.198)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0.98 to 1.13)</w:t>
            </w:r>
          </w:p>
        </w:tc>
        <w:tc>
          <w:tcPr>
            <w:tcW w:type="dxa" w:w="1234"/>
          </w:tcPr>
          <w:p>
            <w:r>
              <w:t>0.163</w:t>
            </w:r>
          </w:p>
        </w:tc>
        <w:tc>
          <w:tcPr>
            <w:tcW w:type="dxa" w:w="1234"/>
          </w:tcPr>
          <w:p>
            <w:r>
              <w:t>0.198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34.9%</w:t>
            </w:r>
          </w:p>
        </w:tc>
        <w:tc>
          <w:tcPr>
            <w:tcW w:type="dxa" w:w="2160"/>
          </w:tcPr>
          <w:p>
            <w:r>
              <w:t>31.1%</w:t>
            </w:r>
          </w:p>
        </w:tc>
        <w:tc>
          <w:tcPr>
            <w:tcW w:type="dxa" w:w="2160"/>
          </w:tcPr>
          <w:p>
            <w:r>
              <w:t>39.7%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