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Ever smoking (past/current) (odds ratio 1.02 (95% CI 0.95 to 1.10), false discovery rate q 0.619)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0.95 to 1.10)</w:t>
            </w:r>
          </w:p>
        </w:tc>
        <w:tc>
          <w:tcPr>
            <w:tcW w:type="dxa" w:w="1234"/>
          </w:tcPr>
          <w:p>
            <w:r>
              <w:t>0.573</w:t>
            </w:r>
          </w:p>
        </w:tc>
        <w:tc>
          <w:tcPr>
            <w:tcW w:type="dxa" w:w="1234"/>
          </w:tcPr>
          <w:p>
            <w:r>
              <w:t>0.619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57.9%</w:t>
            </w:r>
          </w:p>
        </w:tc>
        <w:tc>
          <w:tcPr>
            <w:tcW w:type="dxa" w:w="2160"/>
          </w:tcPr>
          <w:p>
            <w:r>
              <w:t>52.4%</w:t>
            </w:r>
          </w:p>
        </w:tc>
        <w:tc>
          <w:tcPr>
            <w:tcW w:type="dxa" w:w="2160"/>
          </w:tcPr>
          <w:p>
            <w:r>
              <w:t>64.7%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