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Ever smoking (past/current) (odds ratio per 1-SD 0.98 (95% CI 0.91 to 1.04), false discovery rate q 0.532)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0.91 to 1.04)</w:t>
            </w:r>
          </w:p>
        </w:tc>
        <w:tc>
          <w:tcPr>
            <w:tcW w:type="dxa" w:w="1234"/>
          </w:tcPr>
          <w:p>
            <w:r>
              <w:t>0.483</w:t>
            </w:r>
          </w:p>
        </w:tc>
        <w:tc>
          <w:tcPr>
            <w:tcW w:type="dxa" w:w="1234"/>
          </w:tcPr>
          <w:p>
            <w:r>
              <w:t>0.532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17.6</w:t>
            </w:r>
          </w:p>
        </w:tc>
        <w:tc>
          <w:tcPr>
            <w:tcW w:type="dxa" w:w="2160"/>
          </w:tcPr>
          <w:p>
            <w:r>
              <w:t>17.0</w:t>
            </w:r>
          </w:p>
        </w:tc>
        <w:tc>
          <w:tcPr>
            <w:tcW w:type="dxa" w:w="2160"/>
          </w:tcPr>
          <w:p>
            <w:r>
              <w:t>18.2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