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Triglycerides, mg/dL and Ever smoking (past/current)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Triglycerides, mg/dL was positively associated with Ever smoking (past/current) (odds ratio per 1-SD 1.31 (95% CI 1.23 to 1.39), false discovery rate q &lt;0.001) among 36605 adults aged 20 years or older (a weighted Ever smoking (past/current) prevalence of 44.7 percent, survey-weighted). Confounders: Age, years, Male sex,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1.31 (95% CI 1.23 to 1.39)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36605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smoking (past/current)</w:t>
            </w:r>
          </w:p>
        </w:tc>
        <w:tc>
          <w:tcPr>
            <w:tcW w:type="dxa" w:w="2160"/>
          </w:tcPr>
          <w:p>
            <w:r>
              <w:t>Ever smoking (past/current)</w:t>
            </w:r>
          </w:p>
        </w:tc>
      </w:tr>
      <w:tr>
        <w:tc>
          <w:tcPr>
            <w:tcW w:type="dxa" w:w="2160"/>
          </w:tcPr>
          <w:p>
            <w:r>
              <w:t>Triglycerides, mg/dL (exposure)</w:t>
            </w:r>
          </w:p>
        </w:tc>
        <w:tc>
          <w:tcPr>
            <w:tcW w:type="dxa" w:w="2160"/>
          </w:tcPr>
          <w:p>
            <w:r>
              <w:t>135.8</w:t>
            </w:r>
          </w:p>
        </w:tc>
        <w:tc>
          <w:tcPr>
            <w:tcW w:type="dxa" w:w="2160"/>
          </w:tcPr>
          <w:p>
            <w:r>
              <w:t>115.2</w:t>
            </w:r>
          </w:p>
        </w:tc>
        <w:tc>
          <w:tcPr>
            <w:tcW w:type="dxa" w:w="2160"/>
          </w:tcPr>
          <w:p>
            <w:r>
              <w:t>161.3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20.8%</w:t>
            </w:r>
          </w:p>
        </w:tc>
        <w:tc>
          <w:tcPr>
            <w:tcW w:type="dxa" w:w="2160"/>
          </w:tcPr>
          <w:p>
            <w:r>
              <w:t>85.6%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  <w:tc>
          <w:tcPr>
            <w:tcW w:type="dxa" w:w="2160"/>
          </w:tcPr>
          <w:p>
            <w:r>
              <w:t>97.5%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