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Ever smoking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Waist-to-height ratio was positively associated with Ever smoking (past/current) (odds ratio per 1-SD 1.02 (95% CI 0.98 to 1.06), false discovery rate q 0.341) among 36605 adults aged 20 years or older (a weighted Ever smoking (past/current) prevalence of 44.7 percent, survey-weighted). Confounders: Age, years, Male sex,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1.02 (95% CI 0.98 to 1.06)</w:t>
            </w:r>
          </w:p>
        </w:tc>
        <w:tc>
          <w:tcPr>
            <w:tcW w:type="dxa" w:w="1234"/>
          </w:tcPr>
          <w:p>
            <w:r>
              <w:t>0.293</w:t>
            </w:r>
          </w:p>
        </w:tc>
        <w:tc>
          <w:tcPr>
            <w:tcW w:type="dxa" w:w="1234"/>
          </w:tcPr>
          <w:p>
            <w:r>
              <w:t>0.341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Waist-to-height ratio (exposure)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20.8%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  <w:tc>
          <w:tcPr>
            <w:tcW w:type="dxa" w:w="2160"/>
          </w:tcPr>
          <w:p>
            <w:r>
              <w:t>97.5%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