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Ever smoking (past/current) (odds ratio per 1-SD 1.03 (95% CI 0.99 to 1.08), false discovery rate q 0.197) among 36605 adults aged 20 years or older (a weighted Ever smoking (past/current) prevalence of 44.7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0.99 to 1.08)</w:t>
            </w:r>
          </w:p>
        </w:tc>
        <w:tc>
          <w:tcPr>
            <w:tcW w:type="dxa" w:w="1234"/>
          </w:tcPr>
          <w:p>
            <w:r>
              <w:t>0.163</w:t>
            </w:r>
          </w:p>
        </w:tc>
        <w:tc>
          <w:tcPr>
            <w:tcW w:type="dxa" w:w="1234"/>
          </w:tcPr>
          <w:p>
            <w:r>
              <w:t>0.197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65.1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  <w:tc>
          <w:tcPr>
            <w:tcW w:type="dxa" w:w="2160"/>
          </w:tcPr>
          <w:p>
            <w:r>
              <w:t>70.3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