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inversely associated with FIB-4 index (beta coefficient per 1-SD -0.00 (95% CI -0.02 to 0.01), false discovery rate q 0.846) among 34384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-0.02 to 0.01)</w:t>
            </w:r>
          </w:p>
        </w:tc>
        <w:tc>
          <w:tcPr>
            <w:tcW w:type="dxa" w:w="1234"/>
          </w:tcPr>
          <w:p>
            <w:r>
              <w:t>0.819</w:t>
            </w:r>
          </w:p>
        </w:tc>
        <w:tc>
          <w:tcPr>
            <w:tcW w:type="dxa" w:w="1234"/>
          </w:tcPr>
          <w:p>
            <w:r>
              <w:t>0.846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99.6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